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jc w:val="center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instrText xml:space="preserve"> EQ \* jc0 \* "Font:黑体" \* hps22 \o \ad(\s \up 23(yán),研)</w:instrTex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instrText xml:space="preserve"> EQ \* jc0 \* "Font:黑体" \* hps22 \o \ad(\s \up 23(xiū),修)</w:instrTex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instrText xml:space="preserve"> EQ \* jc0 \* "Font:黑体" \* hps22 \o \ad(\s \up 23(jì),计)</w:instrTex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fldChar w:fldCharType="end"/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instrText xml:space="preserve"> EQ \* jc0 \* "Font:黑体" \* hps22 \o \ad(\s \up 23(huà),划)</w:instrTex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 xml:space="preserve"> 有幸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参加信息技术应用能力学习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平台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。为了能让本次培训学习起到真正的实效，真正让自己获得一定的进步，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根据有关要求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制定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以下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研修方案。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一、指导思想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通过专家教授的讲解引领，不断更新自己的教育观念，促使自己向专业化方向发展。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二、研修目标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1、提高自己对信息技术应用在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教学中应用的理解能力和操作能力。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2、能结合有关信息技术应用能力，针对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数学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教学不断反思和总结，提高自身的专业发展能力。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3、转变固有的教育观念，与新时期的教育观念保持一致。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楷体" w:hAnsi="楷体" w:eastAsia="楷体" w:cs="楷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三、研修方式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1、聆听请教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对讲解中不明白问题和教学中的困惑，及时上网查询并向同行请教，努力向寻求专家帮助解决。积极参与研修班的各项研讨活动，努力向各位学员交流学习，拿出自己的问题请教各位学员，与各位学员共同探讨。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每天利用12小时登陆网络研修平台，认真完成培训期间各项任务及作业。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、认真聆听专家们视频讲座，做好笔记，并把理论运用于实践，提高自己业务水平。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2、反思提升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加强业务进修，利用信息技术手段辅助教学，充分利用网络优势，积极参与在线研讨。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bdr w:val="none" w:color="auto" w:sz="0" w:space="0"/>
        </w:rPr>
        <w:t>在多媒体教学环境中，合理利用软件、数字教育资源，优化课堂教学，提高自己的课堂效率。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B6A99"/>
    <w:rsid w:val="2A9B6A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2017-04-16T04:25:00Z</dcterms:created>
  <dc:creator>Administrator</dc:creator>
  <cp:lastModifiedBy>Administrator</cp:lastModifiedBy>
  <dcterms:modified xsi:type="dcterms:W3CDTF">2017-04-16T04:37:02Z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