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1C" w:rsidRDefault="009430F7">
      <w:pPr>
        <w:rPr>
          <w:rFonts w:hint="eastAsia"/>
          <w:sz w:val="28"/>
          <w:szCs w:val="28"/>
        </w:rPr>
      </w:pPr>
      <w:r w:rsidRPr="009430F7">
        <w:rPr>
          <w:rFonts w:hint="eastAsia"/>
          <w:sz w:val="28"/>
          <w:szCs w:val="28"/>
        </w:rPr>
        <w:t xml:space="preserve"> </w:t>
      </w:r>
      <w:r w:rsidR="00E13D7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9430F7">
        <w:rPr>
          <w:rFonts w:hint="eastAsia"/>
          <w:sz w:val="28"/>
          <w:szCs w:val="28"/>
        </w:rPr>
        <w:t>我认为，“以学定教”应该源于因材施教。因材施教中的“材”不是指教材，</w:t>
      </w:r>
      <w:r>
        <w:rPr>
          <w:rFonts w:hint="eastAsia"/>
          <w:sz w:val="28"/>
          <w:szCs w:val="28"/>
        </w:rPr>
        <w:t>而是指人的志趣、能力。以学定教中的“学”也应该有这层意思。</w:t>
      </w:r>
    </w:p>
    <w:p w:rsidR="009430F7" w:rsidRDefault="009430F7" w:rsidP="00E13D70">
      <w:pPr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现在的教学中，学生对教师教学最不满意的现象，就是因材施教，而且比例相当高。而同时，我们教师可以时刻都在努力实践着因材施教。这个反差只能说明对照学生需要的因材施教，我们教师的行为还是让他们感到着眼点不同或明显不够。今天所讨论的“以学定教”和因材施教可以说是一脉相承，但在实施“以学定教或者说因材施教上，师生之间为什么存在这么大的评价反差，”</w:t>
      </w:r>
    </w:p>
    <w:p w:rsidR="00E13D70" w:rsidRPr="009430F7" w:rsidRDefault="00E13D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以学定教具体分为“以学设教”（备课要求）以学施教（上课的要求）以学评教（评价的要求），提出要让学习动机、学习兴趣、学习内容、学习方式、学习时间、学习效果等着眼。来决定教学思路和教学行为。</w:t>
      </w:r>
    </w:p>
    <w:sectPr w:rsidR="00E13D70" w:rsidRPr="009430F7" w:rsidSect="00B87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0F7"/>
    <w:rsid w:val="009430F7"/>
    <w:rsid w:val="00B8771C"/>
    <w:rsid w:val="00E1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2017-05-08T04:11:00Z</dcterms:created>
  <dcterms:modified xsi:type="dcterms:W3CDTF">2017-05-08T05:51:00Z</dcterms:modified>
</cp:coreProperties>
</file>